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F0" w:rsidRDefault="002279F0" w:rsidP="003B3634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2279F0" w:rsidRPr="00DD3A4D">
        <w:trPr>
          <w:cantSplit/>
          <w:trHeight w:val="2516"/>
        </w:trPr>
        <w:tc>
          <w:tcPr>
            <w:tcW w:w="4428" w:type="dxa"/>
          </w:tcPr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2279F0" w:rsidRDefault="002279F0" w:rsidP="00D10DA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2279F0" w:rsidRDefault="002279F0" w:rsidP="00D10DA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2279F0" w:rsidRDefault="002279F0" w:rsidP="00D10DA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2279F0" w:rsidRDefault="002279F0" w:rsidP="00D10DA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2279F0" w:rsidRDefault="002279F0" w:rsidP="00D10DA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2837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2279F0" w:rsidRDefault="002279F0" w:rsidP="00D10DA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2279F0" w:rsidRDefault="002279F0" w:rsidP="00D10DA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2279F0" w:rsidRDefault="002279F0" w:rsidP="00D10DA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279F0" w:rsidRDefault="002279F0" w:rsidP="00D10DA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2279F0" w:rsidRDefault="002279F0" w:rsidP="00D10DA3">
            <w:pPr>
              <w:rPr>
                <w:sz w:val="4"/>
                <w:szCs w:val="4"/>
              </w:rPr>
            </w:pP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2279F0" w:rsidRDefault="002279F0" w:rsidP="00D10DA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2279F0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79F0" w:rsidRDefault="002279F0" w:rsidP="00D10DA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2279F0" w:rsidRDefault="002279F0" w:rsidP="00D10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2279F0" w:rsidRDefault="002279F0" w:rsidP="00D10DA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2279F0" w:rsidRDefault="002279F0" w:rsidP="008B3C2D">
      <w:pPr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А Р А Р                              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</w:t>
      </w:r>
      <w:r w:rsidRPr="00620712">
        <w:rPr>
          <w:rFonts w:ascii="Arial New Bash" w:hAnsi="Arial New Bash" w:cs="Arial New Bash"/>
          <w:b/>
          <w:bCs/>
          <w:sz w:val="28"/>
          <w:szCs w:val="28"/>
        </w:rPr>
        <w:t>ПОСТАНОВЛЕНИЕ</w:t>
      </w:r>
    </w:p>
    <w:p w:rsidR="002279F0" w:rsidRDefault="002279F0" w:rsidP="008B3C2D">
      <w:pPr>
        <w:rPr>
          <w:rFonts w:ascii="Arial New Bash" w:hAnsi="Arial New Bash" w:cs="Arial New Bash"/>
          <w:b/>
          <w:bCs/>
          <w:sz w:val="28"/>
          <w:szCs w:val="28"/>
        </w:rPr>
      </w:pP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  </w:t>
      </w:r>
    </w:p>
    <w:p w:rsidR="002279F0" w:rsidRPr="00B45C9C" w:rsidRDefault="002279F0" w:rsidP="008B3C2D">
      <w:pPr>
        <w:rPr>
          <w:b/>
          <w:bCs/>
          <w:caps/>
          <w:sz w:val="28"/>
          <w:szCs w:val="28"/>
        </w:rPr>
      </w:pP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</w:t>
      </w:r>
      <w:r w:rsidRPr="00620712"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 w:rsidRPr="00620712"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2279F0" w:rsidRPr="008B3C2D" w:rsidRDefault="002279F0" w:rsidP="008B3C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  2022</w:t>
      </w:r>
      <w:r w:rsidRPr="008B3C2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3C2D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25 апреля  2022</w:t>
      </w:r>
      <w:r w:rsidRPr="008B3C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279F0" w:rsidRPr="008B3C2D" w:rsidRDefault="002279F0" w:rsidP="008B3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«Профилактика терроризма и экстремизма в  сельском поселении Новобалтачевский сельсовет муниципального района Чекмагушевский район Республики Башкортостан</w:t>
      </w:r>
    </w:p>
    <w:p w:rsidR="002279F0" w:rsidRPr="008B3C2D" w:rsidRDefault="002279F0" w:rsidP="008B3C2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2022 -2024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279F0" w:rsidRPr="008B3C2D" w:rsidRDefault="002279F0" w:rsidP="008B3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сельского поселения Новобалтачевский сельсовет муниципального района Чекмагушевский район Республики Башкортостан ПОСТАНОВЛЯЕТ:</w:t>
      </w:r>
    </w:p>
    <w:p w:rsidR="002279F0" w:rsidRPr="008B3C2D" w:rsidRDefault="002279F0" w:rsidP="008B3C2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Новобалтачевский сельсовет</w:t>
      </w:r>
      <w:r w:rsidRPr="008B3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8B3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Республики Башкортостан на 2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022-2024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годы»</w:t>
      </w: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Программа).</w:t>
      </w:r>
    </w:p>
    <w:p w:rsidR="002279F0" w:rsidRPr="008B3C2D" w:rsidRDefault="002279F0" w:rsidP="008B3C2D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Новобалтачевский сельсовет муниципального района Чекмагушевский район Республики Башкортостан</w:t>
      </w:r>
      <w:r w:rsidRPr="008B3C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baltach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cc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2279F0" w:rsidRPr="008B3C2D" w:rsidRDefault="002279F0" w:rsidP="008B3C2D">
      <w:pPr>
        <w:pStyle w:val="NormalWe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2279F0" w:rsidRPr="008B3C2D" w:rsidRDefault="002279F0" w:rsidP="008B3C2D">
      <w:pPr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Р.Ф. Усманова           </w:t>
      </w:r>
    </w:p>
    <w:p w:rsidR="002279F0" w:rsidRPr="008B3C2D" w:rsidRDefault="002279F0" w:rsidP="008B3C2D">
      <w:pPr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279F0" w:rsidRPr="008B3C2D" w:rsidRDefault="002279F0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               </w:t>
      </w:r>
    </w:p>
    <w:p w:rsidR="002279F0" w:rsidRPr="008B3C2D" w:rsidRDefault="002279F0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УТВЕРЖДЕНА     постановлением  Администрации </w:t>
      </w:r>
    </w:p>
    <w:p w:rsidR="002279F0" w:rsidRPr="008B3C2D" w:rsidRDefault="002279F0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279F0" w:rsidRPr="008B3C2D" w:rsidRDefault="002279F0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Новобалтачевский сельсовет </w:t>
      </w:r>
    </w:p>
    <w:p w:rsidR="002279F0" w:rsidRPr="008B3C2D" w:rsidRDefault="002279F0" w:rsidP="008B3C2D">
      <w:pPr>
        <w:shd w:val="clear" w:color="auto" w:fill="FFFFFF"/>
        <w:ind w:left="4248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</w:t>
      </w:r>
    </w:p>
    <w:p w:rsidR="002279F0" w:rsidRPr="008B3C2D" w:rsidRDefault="002279F0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Чекмагушевский  район </w:t>
      </w:r>
    </w:p>
    <w:p w:rsidR="002279F0" w:rsidRPr="008B3C2D" w:rsidRDefault="002279F0" w:rsidP="008B3C2D">
      <w:pPr>
        <w:shd w:val="clear" w:color="auto" w:fill="FFFFFF"/>
        <w:ind w:left="4248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Республики Башкортостан</w:t>
      </w:r>
    </w:p>
    <w:p w:rsidR="002279F0" w:rsidRPr="008B3C2D" w:rsidRDefault="002279F0" w:rsidP="008B3C2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25 апреля 2022</w:t>
      </w:r>
      <w:r w:rsidRPr="008B3C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3C2D">
        <w:rPr>
          <w:rFonts w:ascii="Times New Roman" w:hAnsi="Times New Roman" w:cs="Times New Roman"/>
          <w:sz w:val="28"/>
          <w:szCs w:val="28"/>
        </w:rPr>
        <w:t>6</w:t>
      </w:r>
    </w:p>
    <w:p w:rsidR="002279F0" w:rsidRPr="008B3C2D" w:rsidRDefault="002279F0" w:rsidP="008B3C2D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</w:t>
      </w:r>
    </w:p>
    <w:p w:rsidR="002279F0" w:rsidRPr="008B3C2D" w:rsidRDefault="002279F0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«Профилактика терроризма и экстремизма в сельском поселении Новобалтачевский сельсовет муниципального района Чекмагушевский район Республики Башкортостан</w:t>
      </w:r>
      <w:r w:rsidRPr="008B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2022-2024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4"/>
        <w:gridCol w:w="6914"/>
      </w:tblGrid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Программа «Профилактика терроризма и экстремизма в сельском поселении Новобалтачевский сельсовет муниципального района Чекмагушевский район Республики Башкортостан на 2020-2022 годы» (далее – Программа)</w:t>
            </w: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Новобалтачевский сельсовет муниципального района Чекмагушевский район Республики Башкортостан. 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Новобалтачевский сельсовет муниципального района Чекмагушевский район Республики Башкортостан. 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сельского поселения Новобалтачевский сельсовет.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Новобалтачевский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выявление и пресечение экстремисткой деятельности организаций и объедений на территории сельского поселения Новобалтачевский сельсовет муниципального района Чекмагушевский район Республики Башкортостан.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       2020-2022 годы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9F0" w:rsidRPr="008B3C2D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Структура  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1) Паспорт программы.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3) Раздел 2. Основные цели и задачи  Программы.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5) Раздел 4. Основные  мероприятия Программы.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8) Раздел 7. Оценка эффективности Программы</w:t>
            </w:r>
          </w:p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- формирование единого информационного пространства для пропаганды и распространения на территории сельского поселения Новобалтачевский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Новобалтачевский сельсовет муниципального района Чекмагушевский район Республики Башкортостан.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  местный  бюджет 2000 рублей в год.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настоящей Программы  осуществляет Администрация сельского поселения Новобалтачевский сельсовет муниципального района Чекмагушевский район Республики Башкортостан.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Новобалтачевский сельсовет муниципального района Чекмагушевский район Республики Башкортостан.</w:t>
            </w:r>
          </w:p>
        </w:tc>
      </w:tr>
    </w:tbl>
    <w:p w:rsidR="002279F0" w:rsidRPr="008B3C2D" w:rsidRDefault="002279F0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её решения программными методами.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Новобалтачевский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Главная цель Программы - противодействие терроризму и экстремизму, защита жизни граждан, проживающих на территории сельского поселения Новобалтачевский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Новобалтачевский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выявление и пресечение экстремисткой деятельности организаций и объедений на территории сельского поселения Новобалтачевский сельсовет муниципального района Чекмагушевский район Республики Башкортостан.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8B3C2D">
        <w:rPr>
          <w:rFonts w:ascii="Times New Roman" w:hAnsi="Times New Roman" w:cs="Times New Roman"/>
          <w:sz w:val="28"/>
          <w:szCs w:val="28"/>
        </w:rPr>
        <w:t> 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>Нормативное обеспечение Программы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Правовую основу для реализации Программы определили: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- Федеральный Закон от 06.03.2006 № 35-ФЗ «О противодействии терроризму»;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Федеральный закон от 25.07.2002 № 114-ФЗ «О противодействии экстремистской деятельности».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4. Основные мероприятия Программы.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Общие мероприятия: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Мероприятия в сфере культуры и воспитания молодежи: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2279F0" w:rsidRPr="008B3C2D" w:rsidRDefault="002279F0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 Программы, включая организацию управления</w:t>
      </w:r>
      <w:r w:rsidRPr="008B3C2D">
        <w:rPr>
          <w:rFonts w:ascii="Times New Roman" w:hAnsi="Times New Roman" w:cs="Times New Roman"/>
          <w:sz w:val="28"/>
          <w:szCs w:val="28"/>
        </w:rPr>
        <w:t> П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>рограммой и контроль  за ходом её реализации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и координацию деятельности исполнителей осуществляет глава сельского поселения Новобалтачевский сельсовет.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279F0" w:rsidRPr="008B3C2D" w:rsidRDefault="002279F0" w:rsidP="003F24B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 сельского поселения Новобалтачевский сельсовет муниципального района Чекмагушевский район Республики Башкортостан.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6. Основные программные мероприятия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 по реализации программы «По профилактике терроризма и экстремизма в сельском поселении Новобалтачевский сельсовет муниципального района Чекмагушевский район 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2020-2022  годы»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4"/>
        <w:gridCol w:w="2147"/>
        <w:gridCol w:w="2127"/>
      </w:tblGrid>
      <w:tr w:rsidR="002279F0" w:rsidRPr="008B3C2D" w:rsidTr="003F24B0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2. Информирование жителей сельского поселения Новобалтачевский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образования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5. Проводить тематические беседы в коллективах учащихся  школы,  расположенной на территории сельского поселения Новобалтачевский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Март2022-2024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образования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2022-2024гг.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молодежи.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культуры,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2022-2024г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культуры, спорта,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культуры, образования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 (по согласованию)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14. Обеспечение сбора информации о прибывающих на территорию сельского поселения Новобалтачевский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15. Организовать подготовку проектов, изготовле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2022-2024гг.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2279F0" w:rsidRPr="008B3C2D" w:rsidTr="003F24B0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17.Корретировка базы данных граждан, проживающих на территории сельского поселения:</w:t>
            </w:r>
          </w:p>
          <w:p w:rsidR="002279F0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-неблагополучных семей;</w:t>
            </w:r>
          </w:p>
          <w:p w:rsidR="002279F0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-лиц, прибывших из мест лишения свободы;</w:t>
            </w:r>
          </w:p>
          <w:p w:rsidR="002279F0" w:rsidRPr="008B3C2D" w:rsidRDefault="002279F0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-иностранных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2022-2024гг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B3C2D" w:rsidRDefault="002279F0" w:rsidP="00B7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2279F0" w:rsidRPr="008B3C2D" w:rsidRDefault="002279F0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9F0" w:rsidRDefault="002279F0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Default="002279F0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60C98" w:rsidRDefault="002279F0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sz w:val="28"/>
          <w:szCs w:val="28"/>
        </w:rPr>
      </w:pPr>
      <w:r w:rsidRPr="00860C98">
        <w:rPr>
          <w:rFonts w:ascii="Times New Roman" w:hAnsi="Times New Roman" w:cs="Times New Roman"/>
          <w:b/>
          <w:bCs/>
          <w:sz w:val="28"/>
          <w:szCs w:val="28"/>
        </w:rPr>
        <w:t>План   работы   по   профилактике экс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тремизма и ксенофобии в 2022 -2024 год </w:t>
      </w:r>
    </w:p>
    <w:p w:rsidR="002279F0" w:rsidRPr="00860C98" w:rsidRDefault="002279F0" w:rsidP="003F24B0">
      <w:pPr>
        <w:shd w:val="clear" w:color="auto" w:fill="FFFFFF"/>
        <w:spacing w:before="32" w:after="32" w:line="218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60C9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46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77"/>
        <w:gridCol w:w="4705"/>
        <w:gridCol w:w="1449"/>
        <w:gridCol w:w="2533"/>
      </w:tblGrid>
      <w:tr w:rsidR="002279F0" w:rsidRPr="00D57FF2" w:rsidTr="003F24B0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79F0" w:rsidRPr="00D57FF2" w:rsidTr="00DB544C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Организационно-управленческое, методическое обеспечение  работы   по   профилактике   экстремизма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«Формирование национального самосознания учащихся посредством организации деятельности школьного музея национальных культур».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2279F0" w:rsidRPr="00D57FF2" w:rsidTr="00DB544C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2.Работа с обучающимися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часы «В единстве наша сила!»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2022-2024гг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2022-2024гг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СП 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лекций, дискуссий: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«Явление экстремизма в молодежной среде»;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«Твой правовой статус».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-декабрь 2022-2024гг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Беседы  с обучающимися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обучающимися: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  «Профилактика экстремизма»;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школе.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Радиопередача «Мы против терроризма!»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Урок «Терроризм – угроза обществу!»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диагностирование: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личности подростка и ее социальных связей, 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уровня воспитанности;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-жизненного и профессионального самоопределения учащихся 10-11 классов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1-11классов,  социальный педагог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«Мои права. Основной Закон» (8 классы).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Классный рук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Всероссийский урок Конституции Российской Федерации</w:t>
            </w: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«</w:t>
            </w: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Основной Закон» (1-11 классы)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2022-2024гг.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2022-2024гг.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9F0" w:rsidRPr="00D57FF2" w:rsidTr="00DB544C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Работа  с родителями</w:t>
            </w:r>
          </w:p>
        </w:tc>
      </w:tr>
      <w:tr w:rsidR="002279F0" w:rsidRPr="00D57FF2" w:rsidTr="003F24B0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включением вопросов по профилактике экстремизма и ксенофобии среди обучающихся.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 2022-2024гг.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F0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279F0" w:rsidRPr="00860C98" w:rsidRDefault="002279F0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(1-11 классов)</w:t>
            </w:r>
          </w:p>
        </w:tc>
      </w:tr>
    </w:tbl>
    <w:p w:rsidR="002279F0" w:rsidRPr="00860C98" w:rsidRDefault="002279F0" w:rsidP="003F24B0">
      <w:pPr>
        <w:shd w:val="clear" w:color="auto" w:fill="FFFFFF"/>
        <w:spacing w:before="32" w:after="32"/>
        <w:rPr>
          <w:rFonts w:ascii="Times New Roman" w:hAnsi="Times New Roman" w:cs="Times New Roman"/>
          <w:sz w:val="28"/>
          <w:szCs w:val="28"/>
        </w:rPr>
      </w:pPr>
      <w:r w:rsidRPr="00860C98">
        <w:rPr>
          <w:rFonts w:ascii="Times New Roman" w:hAnsi="Times New Roman" w:cs="Times New Roman"/>
          <w:sz w:val="28"/>
          <w:szCs w:val="28"/>
        </w:rPr>
        <w:t> </w:t>
      </w:r>
    </w:p>
    <w:p w:rsidR="002279F0" w:rsidRPr="003F24B0" w:rsidRDefault="002279F0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Раздел 7. Оценка эффективности Программы</w:t>
      </w:r>
    </w:p>
    <w:p w:rsidR="002279F0" w:rsidRPr="008B3C2D" w:rsidRDefault="002279F0" w:rsidP="008B3C2D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Новобалтачевский сельсовет муниципального района Чекмагушевский район Республики Башкортостан.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Реализация Программы позволит: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279F0" w:rsidRPr="008B3C2D" w:rsidRDefault="002279F0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279F0" w:rsidRPr="008B3C2D" w:rsidRDefault="002279F0" w:rsidP="008B3C2D">
      <w:pPr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0" w:rsidRPr="008B3C2D" w:rsidRDefault="002279F0" w:rsidP="00246A1C">
      <w:pPr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246A1C">
      <w:pPr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246A1C">
      <w:pPr>
        <w:rPr>
          <w:rFonts w:ascii="Times New Roman" w:hAnsi="Times New Roman" w:cs="Times New Roman"/>
          <w:sz w:val="28"/>
          <w:szCs w:val="28"/>
        </w:rPr>
      </w:pPr>
    </w:p>
    <w:p w:rsidR="002279F0" w:rsidRPr="008B3C2D" w:rsidRDefault="002279F0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2279F0" w:rsidRPr="008B3C2D" w:rsidSect="003F24B0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F0" w:rsidRDefault="002279F0" w:rsidP="00BF3613">
      <w:r>
        <w:separator/>
      </w:r>
    </w:p>
  </w:endnote>
  <w:endnote w:type="continuationSeparator" w:id="1">
    <w:p w:rsidR="002279F0" w:rsidRDefault="002279F0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F0" w:rsidRDefault="002279F0"/>
  </w:footnote>
  <w:footnote w:type="continuationSeparator" w:id="1">
    <w:p w:rsidR="002279F0" w:rsidRDefault="002279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54F15"/>
    <w:rsid w:val="00086C11"/>
    <w:rsid w:val="000D1D6A"/>
    <w:rsid w:val="000E76B9"/>
    <w:rsid w:val="001310E7"/>
    <w:rsid w:val="00146A53"/>
    <w:rsid w:val="00164C12"/>
    <w:rsid w:val="00175D6E"/>
    <w:rsid w:val="001A3FA1"/>
    <w:rsid w:val="001A4BAC"/>
    <w:rsid w:val="001B18D8"/>
    <w:rsid w:val="001C7A34"/>
    <w:rsid w:val="001F42E4"/>
    <w:rsid w:val="002279F0"/>
    <w:rsid w:val="00236F40"/>
    <w:rsid w:val="002417E8"/>
    <w:rsid w:val="00246A1C"/>
    <w:rsid w:val="00252D66"/>
    <w:rsid w:val="00283709"/>
    <w:rsid w:val="002B13A4"/>
    <w:rsid w:val="002D2791"/>
    <w:rsid w:val="002E4298"/>
    <w:rsid w:val="002F021A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3F24B0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3EBE"/>
    <w:rsid w:val="005B69C6"/>
    <w:rsid w:val="005D1ECE"/>
    <w:rsid w:val="005D386C"/>
    <w:rsid w:val="005D4CA5"/>
    <w:rsid w:val="005D4F3A"/>
    <w:rsid w:val="005F4532"/>
    <w:rsid w:val="00602D65"/>
    <w:rsid w:val="00620712"/>
    <w:rsid w:val="00693C32"/>
    <w:rsid w:val="0069452F"/>
    <w:rsid w:val="00694AA2"/>
    <w:rsid w:val="006D41A4"/>
    <w:rsid w:val="00701772"/>
    <w:rsid w:val="00705333"/>
    <w:rsid w:val="00723F70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40DC"/>
    <w:rsid w:val="00826BD5"/>
    <w:rsid w:val="00827E70"/>
    <w:rsid w:val="008365DB"/>
    <w:rsid w:val="00852A8F"/>
    <w:rsid w:val="00856DEE"/>
    <w:rsid w:val="00860C98"/>
    <w:rsid w:val="00863E9B"/>
    <w:rsid w:val="008777E3"/>
    <w:rsid w:val="00877898"/>
    <w:rsid w:val="008870DD"/>
    <w:rsid w:val="00895FCB"/>
    <w:rsid w:val="008A029A"/>
    <w:rsid w:val="008B3C2D"/>
    <w:rsid w:val="008C588F"/>
    <w:rsid w:val="008F2245"/>
    <w:rsid w:val="00930F37"/>
    <w:rsid w:val="0093581A"/>
    <w:rsid w:val="00962A87"/>
    <w:rsid w:val="00973CB0"/>
    <w:rsid w:val="00984504"/>
    <w:rsid w:val="00995570"/>
    <w:rsid w:val="009B24B2"/>
    <w:rsid w:val="009C551D"/>
    <w:rsid w:val="009D26CF"/>
    <w:rsid w:val="009F71E4"/>
    <w:rsid w:val="00A22C67"/>
    <w:rsid w:val="00A64A89"/>
    <w:rsid w:val="00A90179"/>
    <w:rsid w:val="00AB2B90"/>
    <w:rsid w:val="00AC0B75"/>
    <w:rsid w:val="00B04622"/>
    <w:rsid w:val="00B22962"/>
    <w:rsid w:val="00B45C9C"/>
    <w:rsid w:val="00B46779"/>
    <w:rsid w:val="00B70912"/>
    <w:rsid w:val="00B74F6F"/>
    <w:rsid w:val="00B75532"/>
    <w:rsid w:val="00BA1197"/>
    <w:rsid w:val="00BB70A6"/>
    <w:rsid w:val="00BD2560"/>
    <w:rsid w:val="00BE27DE"/>
    <w:rsid w:val="00BF3613"/>
    <w:rsid w:val="00C349D2"/>
    <w:rsid w:val="00C53A1D"/>
    <w:rsid w:val="00C54A82"/>
    <w:rsid w:val="00C86DE3"/>
    <w:rsid w:val="00CA3522"/>
    <w:rsid w:val="00CA5C68"/>
    <w:rsid w:val="00CB1BFE"/>
    <w:rsid w:val="00CC54C5"/>
    <w:rsid w:val="00CC65E2"/>
    <w:rsid w:val="00CD7AD3"/>
    <w:rsid w:val="00CE39B2"/>
    <w:rsid w:val="00CF7E9F"/>
    <w:rsid w:val="00D10DA3"/>
    <w:rsid w:val="00D36A32"/>
    <w:rsid w:val="00D36BC0"/>
    <w:rsid w:val="00D57FF2"/>
    <w:rsid w:val="00D741B8"/>
    <w:rsid w:val="00D82F51"/>
    <w:rsid w:val="00D846FD"/>
    <w:rsid w:val="00D96AE0"/>
    <w:rsid w:val="00DA4DE9"/>
    <w:rsid w:val="00DB544C"/>
    <w:rsid w:val="00DC3650"/>
    <w:rsid w:val="00DC7922"/>
    <w:rsid w:val="00DD3A4D"/>
    <w:rsid w:val="00E200C1"/>
    <w:rsid w:val="00E5101B"/>
    <w:rsid w:val="00E575F0"/>
    <w:rsid w:val="00E57C2D"/>
    <w:rsid w:val="00E707A1"/>
    <w:rsid w:val="00E94F5C"/>
    <w:rsid w:val="00E97523"/>
    <w:rsid w:val="00EC0C94"/>
    <w:rsid w:val="00EE08AB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709"/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B3C2D"/>
    <w:rPr>
      <w:b/>
      <w:bCs/>
    </w:rPr>
  </w:style>
  <w:style w:type="paragraph" w:customStyle="1" w:styleId="a1">
    <w:name w:val="Знак"/>
    <w:basedOn w:val="Normal"/>
    <w:uiPriority w:val="99"/>
    <w:rsid w:val="008B3C2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12</Pages>
  <Words>3311</Words>
  <Characters>18876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3</cp:revision>
  <cp:lastPrinted>2022-04-26T11:29:00Z</cp:lastPrinted>
  <dcterms:created xsi:type="dcterms:W3CDTF">2022-03-23T06:18:00Z</dcterms:created>
  <dcterms:modified xsi:type="dcterms:W3CDTF">2022-04-26T11:29:00Z</dcterms:modified>
</cp:coreProperties>
</file>