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664DA2" w:rsidRPr="00FA1737">
        <w:trPr>
          <w:cantSplit/>
          <w:trHeight w:val="2516"/>
        </w:trPr>
        <w:tc>
          <w:tcPr>
            <w:tcW w:w="4428" w:type="dxa"/>
          </w:tcPr>
          <w:p w:rsidR="00664DA2" w:rsidRDefault="00664DA2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664DA2" w:rsidRDefault="00664DA2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664DA2" w:rsidRDefault="00664DA2" w:rsidP="009270B3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664DA2" w:rsidRDefault="00664DA2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664DA2" w:rsidRDefault="00664DA2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664DA2" w:rsidRDefault="00664DA2" w:rsidP="009270B3">
            <w:pPr>
              <w:pStyle w:val="Heading2"/>
              <w:rPr>
                <w:rFonts w:cs="Tahoma"/>
              </w:rPr>
            </w:pPr>
            <w:r>
              <w:t>ХАКИМИ^ТЕ</w:t>
            </w:r>
          </w:p>
          <w:p w:rsidR="00664DA2" w:rsidRDefault="00664DA2" w:rsidP="009270B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664DA2" w:rsidRDefault="00664DA2" w:rsidP="009270B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664DA2" w:rsidRDefault="00664DA2" w:rsidP="009270B3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664DA2" w:rsidRDefault="00664DA2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664DA2" w:rsidRDefault="00664DA2" w:rsidP="009270B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664DA2" w:rsidRDefault="00664DA2" w:rsidP="009270B3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0C78C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664DA2" w:rsidRDefault="00664DA2" w:rsidP="009270B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664DA2" w:rsidRDefault="00664DA2" w:rsidP="009270B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664DA2" w:rsidRDefault="00664DA2" w:rsidP="009270B3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664DA2" w:rsidRDefault="00664DA2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64DA2" w:rsidRDefault="00664DA2" w:rsidP="009270B3">
            <w:pPr>
              <w:pStyle w:val="Heading6"/>
              <w:framePr w:hSpace="0" w:wrap="auto" w:vAnchor="margin" w:hAnchor="text" w:yAlign="inline"/>
              <w:rPr>
                <w:rFonts w:cs="Tahoma"/>
                <w:sz w:val="4"/>
                <w:szCs w:val="4"/>
              </w:rPr>
            </w:pPr>
          </w:p>
          <w:p w:rsidR="00664DA2" w:rsidRDefault="00664DA2" w:rsidP="009270B3">
            <w:pPr>
              <w:rPr>
                <w:sz w:val="4"/>
                <w:szCs w:val="4"/>
              </w:rPr>
            </w:pPr>
          </w:p>
          <w:p w:rsidR="00664DA2" w:rsidRDefault="00664DA2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664DA2" w:rsidRDefault="00664DA2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664DA2" w:rsidRDefault="00664DA2" w:rsidP="009270B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664DA2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64DA2" w:rsidRDefault="00664DA2" w:rsidP="009270B3">
            <w:pPr>
              <w:jc w:val="center"/>
              <w:rPr>
                <w:sz w:val="8"/>
                <w:szCs w:val="8"/>
                <w:lang w:val="en-US"/>
              </w:rPr>
            </w:pPr>
          </w:p>
          <w:p w:rsidR="00664DA2" w:rsidRDefault="00664DA2" w:rsidP="00927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664DA2" w:rsidRDefault="00664DA2" w:rsidP="009270B3">
            <w:pPr>
              <w:pStyle w:val="Heading6"/>
              <w:framePr w:hSpace="0" w:wrap="auto" w:vAnchor="margin" w:hAnchor="text" w:yAlign="inline"/>
              <w:jc w:val="left"/>
              <w:rPr>
                <w:rFonts w:cs="Tahoma"/>
                <w:caps/>
                <w:sz w:val="4"/>
                <w:szCs w:val="4"/>
              </w:rPr>
            </w:pPr>
          </w:p>
        </w:tc>
      </w:tr>
    </w:tbl>
    <w:p w:rsidR="00664DA2" w:rsidRDefault="00664DA2" w:rsidP="000D3153">
      <w:pPr>
        <w:jc w:val="center"/>
        <w:rPr>
          <w:rFonts w:ascii="Arial New Bash" w:hAnsi="Arial New Bash" w:cs="Arial New Bash"/>
          <w:b/>
          <w:bCs/>
          <w:sz w:val="28"/>
          <w:szCs w:val="28"/>
          <w:lang w:val="tt-RU"/>
        </w:rPr>
      </w:pPr>
    </w:p>
    <w:p w:rsidR="00664DA2" w:rsidRDefault="00664DA2" w:rsidP="000D3153">
      <w:pPr>
        <w:jc w:val="center"/>
        <w:rPr>
          <w:rFonts w:ascii="Arial New Bash" w:hAnsi="Arial New Bash" w:cs="Arial New Bash"/>
          <w:b/>
          <w:bC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  <w:lang w:val="tt-RU"/>
        </w:rPr>
        <w:t xml:space="preserve">К </w:t>
      </w:r>
      <w:r>
        <w:rPr>
          <w:rFonts w:ascii="Arial New Bash" w:hAnsi="Arial New Bash" w:cs="Arial New Bash"/>
          <w:b/>
          <w:bCs/>
          <w:sz w:val="28"/>
          <w:szCs w:val="28"/>
        </w:rPr>
        <w:t>А Р А Р                                                                      ПОСТАНОВЛЕНИЕ</w:t>
      </w:r>
    </w:p>
    <w:p w:rsidR="00664DA2" w:rsidRDefault="00664DA2" w:rsidP="000D315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</w:p>
    <w:p w:rsidR="00664DA2" w:rsidRPr="00112DC8" w:rsidRDefault="00664DA2" w:rsidP="000D3153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апрель  2022</w:t>
      </w:r>
      <w:r w:rsidRPr="00112DC8">
        <w:rPr>
          <w:rFonts w:ascii="Times New Roman" w:hAnsi="Times New Roman" w:cs="Times New Roman"/>
          <w:sz w:val="28"/>
          <w:szCs w:val="28"/>
        </w:rPr>
        <w:t xml:space="preserve"> йыл</w:t>
      </w:r>
      <w:r w:rsidRPr="00112DC8">
        <w:rPr>
          <w:rFonts w:ascii="Times New Roman" w:hAnsi="Times New Roman" w:cs="Times New Roman"/>
          <w:sz w:val="28"/>
          <w:szCs w:val="28"/>
        </w:rPr>
        <w:tab/>
      </w:r>
      <w:r w:rsidRPr="00112DC8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  <w:lang w:val="tt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            25 апрель  2022</w:t>
      </w:r>
      <w:r w:rsidRPr="00112D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4DA2" w:rsidRDefault="00664DA2" w:rsidP="003B3634">
      <w:pPr>
        <w:pStyle w:val="NormalWeb"/>
        <w:rPr>
          <w:rFonts w:ascii="Arial" w:hAnsi="Arial" w:cs="Arial"/>
        </w:rPr>
      </w:pPr>
    </w:p>
    <w:p w:rsidR="00664DA2" w:rsidRDefault="00664DA2" w:rsidP="003B3634">
      <w:pPr>
        <w:pStyle w:val="NormalWeb"/>
        <w:rPr>
          <w:rFonts w:ascii="Arial" w:hAnsi="Arial" w:cs="Arial"/>
        </w:rPr>
      </w:pPr>
    </w:p>
    <w:p w:rsidR="00664DA2" w:rsidRDefault="00664DA2" w:rsidP="003B3634">
      <w:pPr>
        <w:pStyle w:val="NormalWeb"/>
        <w:rPr>
          <w:rFonts w:ascii="Arial" w:hAnsi="Arial" w:cs="Arial"/>
        </w:rPr>
      </w:pPr>
    </w:p>
    <w:p w:rsidR="00664DA2" w:rsidRDefault="00664DA2" w:rsidP="003B3634">
      <w:pPr>
        <w:pStyle w:val="NormalWeb"/>
        <w:rPr>
          <w:rFonts w:ascii="Arial" w:hAnsi="Arial" w:cs="Arial"/>
        </w:rPr>
      </w:pPr>
    </w:p>
    <w:p w:rsidR="00664DA2" w:rsidRPr="000D3153" w:rsidRDefault="00664DA2" w:rsidP="000D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15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бюджетных инвестиций </w:t>
      </w:r>
    </w:p>
    <w:p w:rsidR="00664DA2" w:rsidRPr="000D3153" w:rsidRDefault="00664DA2" w:rsidP="000D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153">
        <w:rPr>
          <w:rFonts w:ascii="Times New Roman" w:hAnsi="Times New Roman" w:cs="Times New Roman"/>
          <w:b/>
          <w:bCs/>
          <w:sz w:val="28"/>
          <w:szCs w:val="28"/>
        </w:rPr>
        <w:t>в объекты муниципальной собственности сельского поселения</w:t>
      </w:r>
    </w:p>
    <w:p w:rsidR="00664DA2" w:rsidRPr="000D3153" w:rsidRDefault="00664DA2" w:rsidP="000D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Новобалтачевский </w:t>
      </w:r>
      <w:r w:rsidRPr="000D315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664DA2" w:rsidRPr="000D3153" w:rsidRDefault="00664DA2" w:rsidP="000D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Чекмагушевский </w:t>
      </w:r>
      <w:r w:rsidRPr="000D3153">
        <w:rPr>
          <w:rFonts w:ascii="Times New Roman" w:hAnsi="Times New Roman" w:cs="Times New Roman"/>
          <w:b/>
          <w:bCs/>
          <w:sz w:val="28"/>
          <w:szCs w:val="28"/>
        </w:rPr>
        <w:t xml:space="preserve"> район  Республики Башкортостан </w:t>
      </w:r>
    </w:p>
    <w:p w:rsidR="00664DA2" w:rsidRDefault="00664DA2" w:rsidP="000D31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4DA2" w:rsidRPr="000D3153" w:rsidRDefault="00664DA2" w:rsidP="000D31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4DA2" w:rsidRPr="000D3153" w:rsidRDefault="00664DA2" w:rsidP="000D31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4DA2" w:rsidRPr="000D3153" w:rsidRDefault="00664DA2" w:rsidP="000D31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ab/>
        <w:t>В соответствии со статьей 79 Бюджетного кодекса Российской Федерации, Администрация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 сельсовет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Чекмагушевский </w:t>
      </w:r>
      <w:r w:rsidRPr="000D3153">
        <w:rPr>
          <w:rFonts w:ascii="Times New Roman" w:hAnsi="Times New Roman" w:cs="Times New Roman"/>
          <w:sz w:val="28"/>
          <w:szCs w:val="28"/>
        </w:rPr>
        <w:t>район Республики Башкортостан, ПОСТАНОВЛЯЕТ:</w:t>
      </w:r>
    </w:p>
    <w:p w:rsidR="00664DA2" w:rsidRPr="000D3153" w:rsidRDefault="00664DA2" w:rsidP="000D31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0D3153">
        <w:rPr>
          <w:rFonts w:ascii="Times New Roman" w:hAnsi="Times New Roman" w:cs="Times New Roman"/>
          <w:spacing w:val="-6"/>
          <w:sz w:val="28"/>
          <w:szCs w:val="28"/>
        </w:rPr>
        <w:t>прилагаемый Порядок осуществления бюджетных инвестиций в объекты муниципальной собственности</w:t>
      </w:r>
      <w:r w:rsidRPr="000D3153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 Чекмагушевский </w:t>
      </w:r>
      <w:r w:rsidRPr="000D3153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664DA2" w:rsidRPr="000D3153" w:rsidRDefault="00664DA2" w:rsidP="000D31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64DA2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DA2" w:rsidRDefault="00664DA2" w:rsidP="000D3153">
      <w:pPr>
        <w:jc w:val="both"/>
        <w:rPr>
          <w:sz w:val="28"/>
          <w:szCs w:val="28"/>
        </w:rPr>
      </w:pPr>
    </w:p>
    <w:p w:rsidR="00664DA2" w:rsidRDefault="00664DA2" w:rsidP="000D3153">
      <w:pPr>
        <w:jc w:val="both"/>
        <w:rPr>
          <w:sz w:val="26"/>
          <w:szCs w:val="26"/>
        </w:rPr>
      </w:pP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Р.Ф. Усманова </w:t>
      </w:r>
    </w:p>
    <w:p w:rsidR="00664DA2" w:rsidRPr="000D3153" w:rsidRDefault="00664DA2" w:rsidP="000D3153">
      <w:pPr>
        <w:jc w:val="both"/>
        <w:rPr>
          <w:sz w:val="28"/>
          <w:szCs w:val="28"/>
        </w:rPr>
      </w:pPr>
    </w:p>
    <w:p w:rsidR="00664DA2" w:rsidRDefault="00664DA2" w:rsidP="000D3153">
      <w:pPr>
        <w:jc w:val="both"/>
        <w:rPr>
          <w:sz w:val="26"/>
          <w:szCs w:val="26"/>
        </w:rPr>
      </w:pPr>
    </w:p>
    <w:p w:rsidR="00664DA2" w:rsidRDefault="00664DA2" w:rsidP="000D3153">
      <w:pPr>
        <w:jc w:val="both"/>
        <w:rPr>
          <w:sz w:val="26"/>
          <w:szCs w:val="26"/>
        </w:rPr>
      </w:pPr>
    </w:p>
    <w:p w:rsidR="00664DA2" w:rsidRDefault="00664DA2" w:rsidP="000D3153">
      <w:pPr>
        <w:jc w:val="both"/>
        <w:rPr>
          <w:sz w:val="26"/>
          <w:szCs w:val="26"/>
        </w:rPr>
      </w:pPr>
    </w:p>
    <w:p w:rsidR="00664DA2" w:rsidRDefault="00664DA2" w:rsidP="000D3153">
      <w:pPr>
        <w:jc w:val="both"/>
        <w:rPr>
          <w:sz w:val="26"/>
          <w:szCs w:val="26"/>
        </w:rPr>
      </w:pPr>
    </w:p>
    <w:p w:rsidR="00664DA2" w:rsidRDefault="00664DA2" w:rsidP="000D3153">
      <w:pPr>
        <w:jc w:val="both"/>
        <w:rPr>
          <w:sz w:val="26"/>
          <w:szCs w:val="26"/>
        </w:rPr>
      </w:pPr>
    </w:p>
    <w:p w:rsidR="00664DA2" w:rsidRDefault="00664DA2" w:rsidP="000D3153">
      <w:pPr>
        <w:jc w:val="both"/>
        <w:rPr>
          <w:sz w:val="26"/>
          <w:szCs w:val="26"/>
        </w:rPr>
      </w:pPr>
    </w:p>
    <w:p w:rsidR="00664DA2" w:rsidRDefault="00664DA2" w:rsidP="000D3153">
      <w:pPr>
        <w:jc w:val="both"/>
        <w:rPr>
          <w:sz w:val="26"/>
          <w:szCs w:val="26"/>
        </w:rPr>
      </w:pPr>
    </w:p>
    <w:p w:rsidR="00664DA2" w:rsidRDefault="00664DA2" w:rsidP="000D3153">
      <w:pPr>
        <w:jc w:val="both"/>
        <w:rPr>
          <w:sz w:val="26"/>
          <w:szCs w:val="26"/>
        </w:rPr>
      </w:pPr>
    </w:p>
    <w:tbl>
      <w:tblPr>
        <w:tblW w:w="10063" w:type="dxa"/>
        <w:tblInd w:w="-106" w:type="dxa"/>
        <w:tblLook w:val="01E0"/>
      </w:tblPr>
      <w:tblGrid>
        <w:gridCol w:w="5220"/>
        <w:gridCol w:w="4843"/>
      </w:tblGrid>
      <w:tr w:rsidR="00664DA2" w:rsidRPr="000D3153" w:rsidTr="00FA1737">
        <w:trPr>
          <w:trHeight w:val="1438"/>
        </w:trPr>
        <w:tc>
          <w:tcPr>
            <w:tcW w:w="5220" w:type="dxa"/>
          </w:tcPr>
          <w:p w:rsidR="00664DA2" w:rsidRPr="000D3153" w:rsidRDefault="00664DA2" w:rsidP="009270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664DA2" w:rsidRPr="000D3153" w:rsidRDefault="00664DA2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64DA2" w:rsidRPr="000D3153" w:rsidRDefault="00664DA2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</w:p>
          <w:p w:rsidR="00664DA2" w:rsidRPr="000D3153" w:rsidRDefault="00664DA2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64DA2" w:rsidRPr="000D3153" w:rsidRDefault="00664DA2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Новобалтачевский </w:t>
            </w: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664DA2" w:rsidRPr="000D3153" w:rsidRDefault="00664DA2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64DA2" w:rsidRPr="000D3153" w:rsidRDefault="00664DA2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Чекмагушевский </w:t>
            </w: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64DA2" w:rsidRPr="000D3153" w:rsidRDefault="00664DA2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664DA2" w:rsidRPr="000D3153" w:rsidRDefault="00664DA2" w:rsidP="009270B3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25.04.2022</w:t>
            </w: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4DA2" w:rsidRPr="000D3153" w:rsidRDefault="00664DA2" w:rsidP="000D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DA2" w:rsidRPr="000D3153" w:rsidRDefault="00664DA2" w:rsidP="000D3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15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64DA2" w:rsidRPr="000D3153" w:rsidRDefault="00664DA2" w:rsidP="000D31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бюджетных инвестиций в объекты муниципальной собственности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Новобалтачевский </w:t>
      </w:r>
      <w:r w:rsidRPr="000D315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664DA2" w:rsidRPr="000D3153" w:rsidRDefault="00664DA2" w:rsidP="000D3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Чекмагушевский </w:t>
      </w:r>
      <w:r w:rsidRPr="000D315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664DA2" w:rsidRPr="000D3153" w:rsidRDefault="00664DA2" w:rsidP="000D3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DA2" w:rsidRPr="000D3153" w:rsidRDefault="00664DA2" w:rsidP="000D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или на приобретение объектов недвижимого имущества в муниципальную собственность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учреждения), муниципальным унитарным предприятиям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0D3153">
        <w:rPr>
          <w:rFonts w:ascii="Times New Roman" w:hAnsi="Times New Roman" w:cs="Times New Roman"/>
          <w:sz w:val="28"/>
          <w:szCs w:val="28"/>
        </w:rPr>
        <w:t>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664DA2" w:rsidRPr="000D3153" w:rsidRDefault="00664DA2" w:rsidP="000D3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DA2" w:rsidRPr="000D3153" w:rsidRDefault="00664DA2" w:rsidP="000D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664DA2" w:rsidRPr="000D3153" w:rsidRDefault="00664DA2" w:rsidP="000D3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664DA2" w:rsidRPr="000D3153" w:rsidRDefault="00664DA2" w:rsidP="000D3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664DA2" w:rsidRPr="000D3153" w:rsidRDefault="00664DA2" w:rsidP="000D3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>сельсовет муниципального района.</w:t>
      </w:r>
    </w:p>
    <w:p w:rsidR="00664DA2" w:rsidRPr="000D3153" w:rsidRDefault="00664DA2" w:rsidP="000D3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664DA2" w:rsidRPr="000D3153" w:rsidRDefault="00664DA2" w:rsidP="000D3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664DA2" w:rsidRPr="000D3153" w:rsidRDefault="00664DA2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664DA2" w:rsidRPr="000D3153" w:rsidRDefault="00664DA2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664DA2" w:rsidRPr="000D3153" w:rsidRDefault="00664DA2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664DA2" w:rsidRPr="000D3153" w:rsidRDefault="00664DA2">
      <w:pPr>
        <w:rPr>
          <w:rFonts w:ascii="Times New Roman" w:hAnsi="Times New Roman" w:cs="Times New Roman"/>
          <w:sz w:val="28"/>
          <w:szCs w:val="28"/>
        </w:rPr>
      </w:pPr>
    </w:p>
    <w:sectPr w:rsidR="00664DA2" w:rsidRPr="000D3153" w:rsidSect="00E200C1">
      <w:pgSz w:w="11906" w:h="16838"/>
      <w:pgMar w:top="3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A2" w:rsidRDefault="00664DA2" w:rsidP="00BF3613">
      <w:r>
        <w:separator/>
      </w:r>
    </w:p>
  </w:endnote>
  <w:endnote w:type="continuationSeparator" w:id="1">
    <w:p w:rsidR="00664DA2" w:rsidRDefault="00664DA2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A2" w:rsidRDefault="00664DA2"/>
  </w:footnote>
  <w:footnote w:type="continuationSeparator" w:id="1">
    <w:p w:rsidR="00664DA2" w:rsidRDefault="00664D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86C11"/>
    <w:rsid w:val="000C78C4"/>
    <w:rsid w:val="000D1D6A"/>
    <w:rsid w:val="000D3153"/>
    <w:rsid w:val="000E76B9"/>
    <w:rsid w:val="00112DC8"/>
    <w:rsid w:val="001310E7"/>
    <w:rsid w:val="00146A53"/>
    <w:rsid w:val="00164C12"/>
    <w:rsid w:val="00175D6E"/>
    <w:rsid w:val="001A3FA1"/>
    <w:rsid w:val="001A4BAC"/>
    <w:rsid w:val="001B18D8"/>
    <w:rsid w:val="001B3408"/>
    <w:rsid w:val="001C7A34"/>
    <w:rsid w:val="001F42E4"/>
    <w:rsid w:val="00224657"/>
    <w:rsid w:val="00236F40"/>
    <w:rsid w:val="00246A1C"/>
    <w:rsid w:val="00252D66"/>
    <w:rsid w:val="002B13A4"/>
    <w:rsid w:val="002D2791"/>
    <w:rsid w:val="002E4298"/>
    <w:rsid w:val="002E4786"/>
    <w:rsid w:val="002F2F31"/>
    <w:rsid w:val="0030375F"/>
    <w:rsid w:val="00323655"/>
    <w:rsid w:val="00327249"/>
    <w:rsid w:val="00333A3A"/>
    <w:rsid w:val="003740D9"/>
    <w:rsid w:val="003B3634"/>
    <w:rsid w:val="003B62A0"/>
    <w:rsid w:val="003B773B"/>
    <w:rsid w:val="003E16FC"/>
    <w:rsid w:val="00401B46"/>
    <w:rsid w:val="004027C9"/>
    <w:rsid w:val="0041102E"/>
    <w:rsid w:val="00444261"/>
    <w:rsid w:val="00462BB2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3431B"/>
    <w:rsid w:val="005556AD"/>
    <w:rsid w:val="00555D02"/>
    <w:rsid w:val="00557593"/>
    <w:rsid w:val="00573561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64DA2"/>
    <w:rsid w:val="00693C32"/>
    <w:rsid w:val="0069452F"/>
    <w:rsid w:val="00694AA2"/>
    <w:rsid w:val="006D41A4"/>
    <w:rsid w:val="00701772"/>
    <w:rsid w:val="00704ACF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5E2D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5FCB"/>
    <w:rsid w:val="008A029A"/>
    <w:rsid w:val="008C588F"/>
    <w:rsid w:val="008F2245"/>
    <w:rsid w:val="009270B3"/>
    <w:rsid w:val="0093581A"/>
    <w:rsid w:val="009629FB"/>
    <w:rsid w:val="00962A87"/>
    <w:rsid w:val="00973CB0"/>
    <w:rsid w:val="00984504"/>
    <w:rsid w:val="00995570"/>
    <w:rsid w:val="009B24B2"/>
    <w:rsid w:val="009C551D"/>
    <w:rsid w:val="009D26CF"/>
    <w:rsid w:val="009F71E4"/>
    <w:rsid w:val="00A64A89"/>
    <w:rsid w:val="00A90179"/>
    <w:rsid w:val="00AB2B90"/>
    <w:rsid w:val="00AC0B75"/>
    <w:rsid w:val="00B04622"/>
    <w:rsid w:val="00B22962"/>
    <w:rsid w:val="00B46779"/>
    <w:rsid w:val="00B70912"/>
    <w:rsid w:val="00B75532"/>
    <w:rsid w:val="00B9260D"/>
    <w:rsid w:val="00BA1197"/>
    <w:rsid w:val="00BB70A6"/>
    <w:rsid w:val="00BE27DE"/>
    <w:rsid w:val="00BF3613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10DA3"/>
    <w:rsid w:val="00D36A32"/>
    <w:rsid w:val="00D36BC0"/>
    <w:rsid w:val="00D741B8"/>
    <w:rsid w:val="00D82F51"/>
    <w:rsid w:val="00D846FD"/>
    <w:rsid w:val="00D96AE0"/>
    <w:rsid w:val="00DA2356"/>
    <w:rsid w:val="00DA4DE9"/>
    <w:rsid w:val="00DC3650"/>
    <w:rsid w:val="00DC7922"/>
    <w:rsid w:val="00DE10C0"/>
    <w:rsid w:val="00E200C1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32DB3"/>
    <w:rsid w:val="00F41B5E"/>
    <w:rsid w:val="00F55618"/>
    <w:rsid w:val="00F74AC1"/>
    <w:rsid w:val="00FA1737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character" w:customStyle="1" w:styleId="a1">
    <w:name w:val="Знак Знак"/>
    <w:basedOn w:val="DefaultParagraphFont"/>
    <w:uiPriority w:val="99"/>
    <w:rsid w:val="000D315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2089</Words>
  <Characters>11912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3</cp:revision>
  <cp:lastPrinted>2022-05-20T05:11:00Z</cp:lastPrinted>
  <dcterms:created xsi:type="dcterms:W3CDTF">2022-05-12T06:57:00Z</dcterms:created>
  <dcterms:modified xsi:type="dcterms:W3CDTF">2022-05-20T05:11:00Z</dcterms:modified>
</cp:coreProperties>
</file>